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ind w:firstLine="2420" w:firstLineChars="550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四川省剑阁县地方海事处</w:t>
      </w:r>
    </w:p>
    <w:p>
      <w:pPr>
        <w:spacing w:line="50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行政执法集中公示目录</w:t>
      </w:r>
    </w:p>
    <w:p>
      <w:pPr>
        <w:spacing w:line="50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13"/>
        <w:numPr>
          <w:ilvl w:val="0"/>
          <w:numId w:val="1"/>
        </w:numPr>
        <w:spacing w:line="560" w:lineRule="exact"/>
        <w:ind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剑阁县地方海事处行政执法主体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行政执法主体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个</w:t>
      </w:r>
      <w:r>
        <w:rPr>
          <w:rFonts w:ascii="仿宋_GB2312" w:hAnsi="仿宋_GB2312" w:eastAsia="仿宋_GB2312" w:cs="仿宋_GB2312"/>
          <w:sz w:val="32"/>
          <w:szCs w:val="32"/>
        </w:rPr>
        <w:t xml:space="preserve">:  </w:t>
      </w:r>
      <w:r>
        <w:rPr>
          <w:rFonts w:hint="eastAsia" w:ascii="仿宋_GB2312" w:hAnsi="仿宋_GB2312" w:eastAsia="仿宋_GB2312" w:cs="仿宋_GB2312"/>
          <w:sz w:val="32"/>
          <w:szCs w:val="32"/>
        </w:rPr>
        <w:t>四川省剑阁县地方海事处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址：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剑阁县下寺镇修城坝剑门关大道北段</w:t>
      </w:r>
      <w:r>
        <w:rPr>
          <w:rFonts w:ascii="仿宋_GB2312" w:hAnsi="仿宋_GB2312" w:eastAsia="仿宋_GB2312" w:cs="仿宋_GB2312"/>
          <w:sz w:val="32"/>
          <w:szCs w:val="32"/>
        </w:rPr>
        <w:t>333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邮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编：</w:t>
      </w:r>
      <w:r>
        <w:rPr>
          <w:rFonts w:ascii="仿宋_GB2312" w:hAnsi="仿宋_GB2312" w:eastAsia="仿宋_GB2312" w:cs="仿宋_GB2312"/>
          <w:sz w:val="32"/>
          <w:szCs w:val="32"/>
        </w:rPr>
        <w:t xml:space="preserve"> 628317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电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话：</w:t>
      </w:r>
      <w:r>
        <w:rPr>
          <w:rFonts w:ascii="仿宋_GB2312" w:hAnsi="仿宋_GB2312" w:eastAsia="仿宋_GB2312" w:cs="仿宋_GB2312"/>
          <w:sz w:val="32"/>
          <w:szCs w:val="32"/>
        </w:rPr>
        <w:t xml:space="preserve"> 0839—6622715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主要职责：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一、海事（航务）处工作职责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依据川交航务〔</w:t>
      </w:r>
      <w:r>
        <w:rPr>
          <w:rFonts w:ascii="仿宋_GB2312" w:hAnsi="仿宋_GB2312" w:eastAsia="仿宋_GB2312" w:cs="仿宋_GB2312"/>
          <w:sz w:val="32"/>
          <w:szCs w:val="32"/>
        </w:rPr>
        <w:t>2004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ascii="仿宋_GB2312" w:hAnsi="仿宋_GB2312" w:eastAsia="仿宋_GB2312" w:cs="仿宋_GB2312"/>
          <w:sz w:val="32"/>
          <w:szCs w:val="32"/>
        </w:rPr>
        <w:t>89</w:t>
      </w:r>
      <w:r>
        <w:rPr>
          <w:rFonts w:hint="eastAsia" w:ascii="仿宋_GB2312" w:hAnsi="仿宋_GB2312" w:eastAsia="仿宋_GB2312" w:cs="仿宋_GB2312"/>
          <w:sz w:val="32"/>
          <w:szCs w:val="32"/>
        </w:rPr>
        <w:t>号文件海事（航务）部门主要履行的职责是：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（一）贯彻执行国家有关水上交通安全生产方针、政策和法律、法规、规章；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（二）负责本辖区水上交通安全监督管理工作；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（三）负责本县水路运输市场管理；</w:t>
      </w:r>
    </w:p>
    <w:p>
      <w:pPr>
        <w:spacing w:line="560" w:lineRule="exact"/>
        <w:ind w:left="323" w:leftChars="154" w:firstLine="313" w:firstLineChars="98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（四）在授权范围内，负责船舶技术监督和船舶检验工作；</w:t>
      </w:r>
    </w:p>
    <w:p>
      <w:pPr>
        <w:spacing w:line="560" w:lineRule="exact"/>
        <w:ind w:left="-105" w:leftChars="-50" w:firstLine="800" w:firstLineChars="2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（五）负责船舶管理、船员管理、通航管理、危险品运输、船舶防污、安全管理等业务工作；</w:t>
      </w:r>
    </w:p>
    <w:p>
      <w:pPr>
        <w:spacing w:line="560" w:lineRule="exact"/>
        <w:ind w:left="-105" w:leftChars="-50" w:firstLine="736" w:firstLineChars="23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（六）负责安全巡查，查处违法行为，跟踪整改水上交通安全隐患；</w:t>
      </w:r>
    </w:p>
    <w:p>
      <w:pPr>
        <w:spacing w:line="560" w:lineRule="exact"/>
        <w:ind w:left="-105" w:leftChars="-50" w:firstLine="736" w:firstLineChars="23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（七）负责对本单位管理人员工作过错进行责任追究；</w:t>
      </w:r>
    </w:p>
    <w:p>
      <w:pPr>
        <w:spacing w:line="560" w:lineRule="exact"/>
        <w:ind w:left="-105" w:leftChars="-50" w:firstLine="736" w:firstLineChars="23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（八）具体组织实施各类重大水上交通安全活动。</w:t>
      </w:r>
    </w:p>
    <w:p>
      <w:pPr>
        <w:spacing w:line="560" w:lineRule="exact"/>
        <w:ind w:left="-105" w:leftChars="-50" w:firstLine="736" w:firstLineChars="230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13"/>
        <w:numPr>
          <w:ilvl w:val="0"/>
          <w:numId w:val="1"/>
        </w:numPr>
        <w:spacing w:line="560" w:lineRule="exact"/>
        <w:ind w:firstLineChars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四川省剑阁县地方海事处行政执法人员清单</w:t>
      </w:r>
    </w:p>
    <w:tbl>
      <w:tblPr>
        <w:tblStyle w:val="6"/>
        <w:tblpPr w:leftFromText="180" w:rightFromText="180" w:vertAnchor="text" w:horzAnchor="page" w:tblpX="1789" w:tblpY="2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3402"/>
        <w:gridCol w:w="38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560" w:lineRule="exac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序号</w:t>
            </w:r>
          </w:p>
        </w:tc>
        <w:tc>
          <w:tcPr>
            <w:tcW w:w="3402" w:type="dxa"/>
          </w:tcPr>
          <w:p>
            <w:pPr>
              <w:spacing w:line="560" w:lineRule="exact"/>
              <w:ind w:firstLine="960" w:firstLineChars="300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姓</w: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名</w:t>
            </w:r>
          </w:p>
        </w:tc>
        <w:tc>
          <w:tcPr>
            <w:tcW w:w="3878" w:type="dxa"/>
          </w:tcPr>
          <w:p>
            <w:pPr>
              <w:spacing w:line="560" w:lineRule="exac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证件编号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560" w:lineRule="exact"/>
              <w:ind w:firstLine="320" w:firstLineChars="10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贾</w: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波</w:t>
            </w:r>
          </w:p>
        </w:tc>
        <w:tc>
          <w:tcPr>
            <w:tcW w:w="3878" w:type="dxa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560" w:lineRule="exact"/>
              <w:ind w:firstLine="320" w:firstLineChars="10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袁迎春</w:t>
            </w:r>
          </w:p>
        </w:tc>
        <w:tc>
          <w:tcPr>
            <w:tcW w:w="3878" w:type="dxa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4715041504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560" w:lineRule="exact"/>
              <w:ind w:firstLine="320" w:firstLineChars="10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3</w:t>
            </w:r>
          </w:p>
        </w:tc>
        <w:tc>
          <w:tcPr>
            <w:tcW w:w="3402" w:type="dxa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薛</w: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飞</w:t>
            </w:r>
          </w:p>
        </w:tc>
        <w:tc>
          <w:tcPr>
            <w:tcW w:w="3878" w:type="dxa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4715061506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560" w:lineRule="exact"/>
              <w:ind w:firstLine="320" w:firstLineChars="10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4</w:t>
            </w:r>
          </w:p>
        </w:tc>
        <w:tc>
          <w:tcPr>
            <w:tcW w:w="3402" w:type="dxa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刘晓青</w:t>
            </w:r>
          </w:p>
        </w:tc>
        <w:tc>
          <w:tcPr>
            <w:tcW w:w="3878" w:type="dxa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4715071507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560" w:lineRule="exact"/>
              <w:ind w:firstLine="320" w:firstLineChars="10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5</w:t>
            </w:r>
          </w:p>
        </w:tc>
        <w:tc>
          <w:tcPr>
            <w:tcW w:w="3402" w:type="dxa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附远德</w:t>
            </w:r>
          </w:p>
        </w:tc>
        <w:tc>
          <w:tcPr>
            <w:tcW w:w="3878" w:type="dxa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4715051505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560" w:lineRule="exact"/>
              <w:ind w:firstLine="320" w:firstLineChars="10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6</w:t>
            </w:r>
          </w:p>
        </w:tc>
        <w:tc>
          <w:tcPr>
            <w:tcW w:w="3402" w:type="dxa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郑</w: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飞</w:t>
            </w:r>
          </w:p>
        </w:tc>
        <w:tc>
          <w:tcPr>
            <w:tcW w:w="3878" w:type="dxa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4715921592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560" w:lineRule="exact"/>
              <w:ind w:firstLine="320" w:firstLineChars="10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7</w:t>
            </w:r>
          </w:p>
        </w:tc>
        <w:tc>
          <w:tcPr>
            <w:tcW w:w="3402" w:type="dxa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蔡</w: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君</w:t>
            </w:r>
          </w:p>
        </w:tc>
        <w:tc>
          <w:tcPr>
            <w:tcW w:w="3878" w:type="dxa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4715081508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560" w:lineRule="exact"/>
              <w:ind w:firstLine="320" w:firstLineChars="10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8</w:t>
            </w:r>
          </w:p>
        </w:tc>
        <w:tc>
          <w:tcPr>
            <w:tcW w:w="3402" w:type="dxa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杨</w: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彪</w:t>
            </w:r>
          </w:p>
        </w:tc>
        <w:tc>
          <w:tcPr>
            <w:tcW w:w="3878" w:type="dxa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51087027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560" w:lineRule="exact"/>
              <w:ind w:firstLine="160" w:firstLineChars="5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9</w:t>
            </w:r>
          </w:p>
        </w:tc>
        <w:tc>
          <w:tcPr>
            <w:tcW w:w="3402" w:type="dxa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许明亮</w:t>
            </w:r>
          </w:p>
        </w:tc>
        <w:tc>
          <w:tcPr>
            <w:tcW w:w="3878" w:type="dxa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51087034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560" w:lineRule="exact"/>
              <w:ind w:firstLine="160" w:firstLineChars="5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10</w:t>
            </w:r>
          </w:p>
        </w:tc>
        <w:tc>
          <w:tcPr>
            <w:tcW w:w="3402" w:type="dxa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覃小虎</w:t>
            </w:r>
          </w:p>
        </w:tc>
        <w:tc>
          <w:tcPr>
            <w:tcW w:w="3878" w:type="dxa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51087035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560" w:lineRule="exact"/>
              <w:ind w:firstLine="160" w:firstLineChars="5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11</w:t>
            </w:r>
          </w:p>
        </w:tc>
        <w:tc>
          <w:tcPr>
            <w:tcW w:w="3402" w:type="dxa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王成勇</w:t>
            </w:r>
          </w:p>
        </w:tc>
        <w:tc>
          <w:tcPr>
            <w:tcW w:w="3878" w:type="dxa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51087028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560" w:lineRule="exact"/>
              <w:ind w:firstLine="160" w:firstLineChars="5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12</w:t>
            </w:r>
          </w:p>
        </w:tc>
        <w:tc>
          <w:tcPr>
            <w:tcW w:w="3402" w:type="dxa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陈</w: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新</w:t>
            </w:r>
          </w:p>
        </w:tc>
        <w:tc>
          <w:tcPr>
            <w:tcW w:w="3878" w:type="dxa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51087030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560" w:lineRule="exact"/>
              <w:ind w:firstLine="160" w:firstLineChars="5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13</w:t>
            </w:r>
          </w:p>
        </w:tc>
        <w:tc>
          <w:tcPr>
            <w:tcW w:w="3402" w:type="dxa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梁沪熙</w:t>
            </w:r>
          </w:p>
        </w:tc>
        <w:tc>
          <w:tcPr>
            <w:tcW w:w="3878" w:type="dxa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51087031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560" w:lineRule="exact"/>
              <w:ind w:firstLine="160" w:firstLineChars="5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14</w:t>
            </w:r>
          </w:p>
        </w:tc>
        <w:tc>
          <w:tcPr>
            <w:tcW w:w="3402" w:type="dxa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李贵云</w:t>
            </w:r>
          </w:p>
        </w:tc>
        <w:tc>
          <w:tcPr>
            <w:tcW w:w="3878" w:type="dxa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51087032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560" w:lineRule="exact"/>
              <w:ind w:firstLine="160" w:firstLineChars="5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15</w:t>
            </w:r>
          </w:p>
        </w:tc>
        <w:tc>
          <w:tcPr>
            <w:tcW w:w="3402" w:type="dxa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左利周</w:t>
            </w:r>
          </w:p>
        </w:tc>
        <w:tc>
          <w:tcPr>
            <w:tcW w:w="3878" w:type="dxa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51087029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560" w:lineRule="exact"/>
              <w:ind w:firstLine="160" w:firstLineChars="5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16</w:t>
            </w:r>
          </w:p>
        </w:tc>
        <w:tc>
          <w:tcPr>
            <w:tcW w:w="3402" w:type="dxa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王建明</w:t>
            </w:r>
          </w:p>
        </w:tc>
        <w:tc>
          <w:tcPr>
            <w:tcW w:w="3878" w:type="dxa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51087033</w:t>
            </w:r>
          </w:p>
        </w:tc>
      </w:tr>
    </w:tbl>
    <w:p>
      <w:pPr>
        <w:pStyle w:val="13"/>
        <w:spacing w:line="560" w:lineRule="exact"/>
        <w:ind w:firstLine="0" w:firstLineChars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三、四川省剑阁县地方海事处行政执法权力、责任清单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四川政务服务网、四川省交通运输厅网（含行政检查、行政强制、行政处罚、行政许可事项的权限、职责、服务指南、法定依据、流程图程序）</w:t>
      </w:r>
      <w:r>
        <w:rPr>
          <w:rFonts w:ascii="仿宋_GB2312" w:hAnsi="仿宋_GB2312" w:eastAsia="仿宋_GB2312" w:cs="仿宋_GB2312"/>
          <w:sz w:val="32"/>
          <w:szCs w:val="32"/>
        </w:rPr>
        <w:t> </w:t>
      </w:r>
      <w:r>
        <w:rPr>
          <w:rFonts w:ascii="仿宋_GB2312" w:hAnsi="仿宋_GB2312" w:eastAsia="仿宋_GB2312" w:cs="仿宋_GB2312"/>
          <w:sz w:val="32"/>
          <w:szCs w:val="32"/>
        </w:rPr>
        <w:br w:type="textWrapping"/>
      </w:r>
      <w:r>
        <w:rPr>
          <w:rFonts w:ascii="仿宋_GB2312" w:hAnsi="仿宋_GB2312" w:eastAsia="仿宋_GB2312" w:cs="仿宋_GB2312"/>
          <w:sz w:val="32"/>
          <w:szCs w:val="32"/>
        </w:rPr>
        <w:t>http://www.sczwfw.gov.cn/app/main?areaCode=510000000000&amp;flag=2</w:t>
      </w:r>
      <w:r>
        <w:rPr>
          <w:rFonts w:ascii="仿宋_GB2312" w:hAnsi="仿宋_GB2312" w:eastAsia="仿宋_GB2312" w:cs="仿宋_GB2312"/>
          <w:sz w:val="32"/>
          <w:szCs w:val="32"/>
        </w:rPr>
        <w:br w:type="textWrapping"/>
      </w:r>
      <w:r>
        <w:fldChar w:fldCharType="begin"/>
      </w:r>
      <w:r>
        <w:instrText xml:space="preserve"> HYPERLINK "http://182.150.21.185:7000/iframework/login?date=2" </w:instrText>
      </w:r>
      <w:r>
        <w:fldChar w:fldCharType="separate"/>
      </w:r>
      <w:r>
        <w:rPr>
          <w:rFonts w:ascii="仿宋_GB2312" w:hAnsi="仿宋_GB2312" w:eastAsia="仿宋_GB2312" w:cs="仿宋_GB2312"/>
          <w:sz w:val="32"/>
          <w:szCs w:val="32"/>
        </w:rPr>
        <w:t>http://182.150.21.185:7000/iframework/login?date=2</w:t>
      </w:r>
      <w:r>
        <w:rPr>
          <w:rFonts w:ascii="仿宋_GB2312" w:hAnsi="仿宋_GB2312" w:eastAsia="仿宋_GB2312" w:cs="仿宋_GB2312"/>
          <w:sz w:val="32"/>
          <w:szCs w:val="32"/>
        </w:rPr>
        <w:fldChar w:fldCharType="end"/>
      </w:r>
    </w:p>
    <w:p>
      <w:pPr>
        <w:pStyle w:val="13"/>
        <w:spacing w:line="560" w:lineRule="exact"/>
        <w:ind w:firstLine="0" w:firstLineChars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四、四川省剑阁县地方海事处重大行政执法审核目录清单</w:t>
      </w:r>
    </w:p>
    <w:p>
      <w:pPr>
        <w:pStyle w:val="13"/>
        <w:spacing w:line="560" w:lineRule="exact"/>
        <w:ind w:firstLine="0"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（一）重大行政许可：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适用听证的；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变更、延续、撤销行政许可决定的；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法律、法规、规章或规范性文件规定以及行政机关认定的其他重大行政许可事项。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（二）重大行政处罚：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非经营性活动对个人处以</w:t>
      </w:r>
      <w:r>
        <w:rPr>
          <w:rFonts w:ascii="仿宋_GB2312" w:hAnsi="仿宋_GB2312" w:eastAsia="仿宋_GB2312" w:cs="仿宋_GB2312"/>
          <w:sz w:val="32"/>
          <w:szCs w:val="32"/>
        </w:rPr>
        <w:t>2000</w:t>
      </w:r>
      <w:r>
        <w:rPr>
          <w:rFonts w:hint="eastAsia" w:ascii="仿宋_GB2312" w:hAnsi="仿宋_GB2312" w:eastAsia="仿宋_GB2312" w:cs="仿宋_GB2312"/>
          <w:sz w:val="32"/>
          <w:szCs w:val="32"/>
        </w:rPr>
        <w:t>元以上罚款或者对法人或组织处以</w:t>
      </w:r>
      <w:r>
        <w:rPr>
          <w:rFonts w:ascii="仿宋_GB2312" w:hAnsi="仿宋_GB2312" w:eastAsia="仿宋_GB2312" w:cs="仿宋_GB2312"/>
          <w:sz w:val="32"/>
          <w:szCs w:val="32"/>
        </w:rPr>
        <w:t>20000</w:t>
      </w:r>
      <w:r>
        <w:rPr>
          <w:rFonts w:hint="eastAsia" w:ascii="仿宋_GB2312" w:hAnsi="仿宋_GB2312" w:eastAsia="仿宋_GB2312" w:cs="仿宋_GB2312"/>
          <w:sz w:val="32"/>
          <w:szCs w:val="32"/>
        </w:rPr>
        <w:t>元以上罚款；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经营性活动中处以</w:t>
      </w:r>
      <w:r>
        <w:rPr>
          <w:rFonts w:ascii="仿宋_GB2312" w:hAnsi="仿宋_GB2312" w:eastAsia="仿宋_GB2312" w:cs="仿宋_GB2312"/>
          <w:sz w:val="32"/>
          <w:szCs w:val="32"/>
        </w:rPr>
        <w:t>50000</w:t>
      </w:r>
      <w:r>
        <w:rPr>
          <w:rFonts w:hint="eastAsia" w:ascii="仿宋_GB2312" w:hAnsi="仿宋_GB2312" w:eastAsia="仿宋_GB2312" w:cs="仿宋_GB2312"/>
          <w:sz w:val="32"/>
          <w:szCs w:val="32"/>
        </w:rPr>
        <w:t>元以上罚款的</w:t>
      </w:r>
      <w:r>
        <w:rPr>
          <w:rFonts w:ascii="仿宋_GB2312" w:hAnsi="仿宋_GB2312" w:eastAsia="仿宋_GB2312" w:cs="仿宋_GB2312"/>
          <w:sz w:val="32"/>
          <w:szCs w:val="32"/>
        </w:rPr>
        <w:t>;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停止执业。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（三）其它涉及国家利益、公共利益、当事人重大权益或者社会影响较大的行政执法决定。</w:t>
      </w:r>
    </w:p>
    <w:p>
      <w:pPr>
        <w:spacing w:line="560" w:lineRule="exact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五、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四川省剑阁县地方海事处行政执法救济渠道、行政执法责任制当事人享有的权利、救济途径、方式</w:t>
      </w:r>
    </w:p>
    <w:p>
      <w:pPr>
        <w:pStyle w:val="13"/>
        <w:numPr>
          <w:ilvl w:val="0"/>
          <w:numId w:val="2"/>
        </w:numPr>
        <w:spacing w:line="560" w:lineRule="exact"/>
        <w:ind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依法享有的权利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当事人依法享有申请回避、陈述、申辩、复议、诉讼等权利，具体详见相应法律法规。</w:t>
      </w:r>
    </w:p>
    <w:p>
      <w:pPr>
        <w:pStyle w:val="13"/>
        <w:numPr>
          <w:ilvl w:val="0"/>
          <w:numId w:val="2"/>
        </w:numPr>
        <w:spacing w:line="560" w:lineRule="exact"/>
        <w:ind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救济途径</w:t>
      </w:r>
    </w:p>
    <w:p>
      <w:pPr>
        <w:pStyle w:val="13"/>
        <w:numPr>
          <w:ilvl w:val="0"/>
          <w:numId w:val="3"/>
        </w:numPr>
        <w:spacing w:line="560" w:lineRule="exact"/>
        <w:ind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行政复议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门：剑阁县交通运输局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址：剑阁县剑门关大道北段</w:t>
      </w:r>
      <w:r>
        <w:rPr>
          <w:rFonts w:ascii="仿宋_GB2312" w:hAnsi="仿宋_GB2312" w:eastAsia="仿宋_GB2312" w:cs="仿宋_GB2312"/>
          <w:sz w:val="32"/>
          <w:szCs w:val="32"/>
        </w:rPr>
        <w:t>333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ascii="仿宋_GB2312" w:hAnsi="仿宋_GB2312" w:eastAsia="仿宋_GB2312" w:cs="仿宋_GB2312"/>
          <w:sz w:val="32"/>
          <w:szCs w:val="32"/>
        </w:rPr>
        <w:t xml:space="preserve"> 0839—6600299</w:t>
      </w:r>
    </w:p>
    <w:p>
      <w:pPr>
        <w:pStyle w:val="13"/>
        <w:spacing w:line="560" w:lineRule="exact"/>
        <w:ind w:firstLine="0"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门：剑阁县司法局行政复议与应诉股</w:t>
      </w:r>
    </w:p>
    <w:p>
      <w:pPr>
        <w:pStyle w:val="13"/>
        <w:spacing w:line="560" w:lineRule="exact"/>
        <w:ind w:firstLine="0"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址：剑阁县司法局二楼</w:t>
      </w:r>
    </w:p>
    <w:p>
      <w:pPr>
        <w:pStyle w:val="13"/>
        <w:spacing w:line="560" w:lineRule="exact"/>
        <w:ind w:firstLine="0"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ascii="仿宋_GB2312" w:hAnsi="仿宋_GB2312" w:eastAsia="仿宋_GB2312" w:cs="仿宋_GB2312"/>
          <w:sz w:val="32"/>
          <w:szCs w:val="32"/>
        </w:rPr>
        <w:t>0839</w:t>
      </w:r>
      <w:r>
        <w:rPr>
          <w:rFonts w:hint="eastAsia" w:ascii="仿宋_GB2312" w:hAnsi="仿宋_GB2312" w:eastAsia="仿宋_GB2312" w:cs="仿宋_GB2312"/>
          <w:sz w:val="32"/>
          <w:szCs w:val="32"/>
        </w:rPr>
        <w:t>－</w:t>
      </w:r>
      <w:r>
        <w:rPr>
          <w:rFonts w:ascii="仿宋_GB2312" w:hAnsi="仿宋_GB2312" w:eastAsia="仿宋_GB2312" w:cs="仿宋_GB2312"/>
          <w:sz w:val="32"/>
          <w:szCs w:val="32"/>
        </w:rPr>
        <w:t>5208080</w:t>
      </w:r>
    </w:p>
    <w:p>
      <w:pPr>
        <w:pStyle w:val="13"/>
        <w:spacing w:line="560" w:lineRule="exact"/>
        <w:ind w:firstLine="0"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、行政诉讼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单位：剑阁县人民法院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地址：剑阁县剑门关大道北段</w:t>
      </w:r>
      <w:r>
        <w:rPr>
          <w:rFonts w:ascii="仿宋_GB2312" w:hAnsi="仿宋_GB2312" w:eastAsia="仿宋_GB2312" w:cs="仿宋_GB2312"/>
          <w:sz w:val="32"/>
          <w:szCs w:val="32"/>
        </w:rPr>
        <w:t>502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（三）对行政执法的监督投诉举报的方式、途径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、四川交通运输服务监督平台</w:t>
      </w:r>
    </w:p>
    <w:p>
      <w:pPr>
        <w:spacing w:line="560" w:lineRule="exact"/>
        <w:ind w:firstLine="480" w:firstLineChars="1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电话；</w:t>
      </w:r>
      <w:r>
        <w:rPr>
          <w:rFonts w:ascii="仿宋_GB2312" w:hAnsi="仿宋_GB2312" w:eastAsia="仿宋_GB2312" w:cs="仿宋_GB2312"/>
          <w:sz w:val="32"/>
          <w:szCs w:val="32"/>
        </w:rPr>
        <w:t>12328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、广元市地方海事局海事科执法监督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监督电话：</w:t>
      </w:r>
      <w:r>
        <w:rPr>
          <w:rFonts w:ascii="仿宋_GB2312" w:hAnsi="仿宋_GB2312" w:eastAsia="仿宋_GB2312" w:cs="仿宋_GB2312"/>
          <w:sz w:val="32"/>
          <w:szCs w:val="32"/>
        </w:rPr>
        <w:t>0839—3503595</w:t>
      </w:r>
    </w:p>
    <w:p>
      <w:pPr>
        <w:spacing w:line="560" w:lineRule="exact"/>
        <w:ind w:firstLine="321" w:firstLineChars="1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行政执法责任制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、《国务院办公厅关于推行行政执法责任制的若干意见》（国办发【</w:t>
      </w:r>
      <w:r>
        <w:rPr>
          <w:rFonts w:ascii="仿宋_GB2312" w:hAnsi="仿宋_GB2312" w:eastAsia="仿宋_GB2312" w:cs="仿宋_GB2312"/>
          <w:sz w:val="32"/>
          <w:szCs w:val="32"/>
        </w:rPr>
        <w:t>2005</w:t>
      </w:r>
      <w:r>
        <w:rPr>
          <w:rFonts w:hint="eastAsia" w:ascii="仿宋_GB2312" w:hAnsi="仿宋_GB2312" w:eastAsia="仿宋_GB2312" w:cs="仿宋_GB2312"/>
          <w:sz w:val="32"/>
          <w:szCs w:val="32"/>
        </w:rPr>
        <w:t>】</w:t>
      </w:r>
      <w:r>
        <w:rPr>
          <w:rFonts w:ascii="仿宋_GB2312" w:hAnsi="仿宋_GB2312" w:eastAsia="仿宋_GB2312" w:cs="仿宋_GB2312"/>
          <w:sz w:val="32"/>
          <w:szCs w:val="32"/>
        </w:rPr>
        <w:t>37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、《四川省人民政府办公厅关于深化行政执法责任制的实施意见》（川办发【</w:t>
      </w:r>
      <w:r>
        <w:rPr>
          <w:rFonts w:ascii="仿宋_GB2312" w:hAnsi="仿宋_GB2312" w:eastAsia="仿宋_GB2312" w:cs="仿宋_GB2312"/>
          <w:sz w:val="32"/>
          <w:szCs w:val="32"/>
        </w:rPr>
        <w:t>2005</w:t>
      </w:r>
      <w:r>
        <w:rPr>
          <w:rFonts w:hint="eastAsia" w:ascii="仿宋_GB2312" w:hAnsi="仿宋_GB2312" w:eastAsia="仿宋_GB2312" w:cs="仿宋_GB2312"/>
          <w:sz w:val="32"/>
          <w:szCs w:val="32"/>
        </w:rPr>
        <w:t>】</w:t>
      </w:r>
      <w:r>
        <w:rPr>
          <w:rFonts w:ascii="仿宋_GB2312" w:hAnsi="仿宋_GB2312" w:eastAsia="仿宋_GB2312" w:cs="仿宋_GB2312"/>
          <w:sz w:val="32"/>
          <w:szCs w:val="32"/>
        </w:rPr>
        <w:t>36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、《四川省落实行政执法责任制全面推进依法行政考核办法》（川府法【</w:t>
      </w:r>
      <w:r>
        <w:rPr>
          <w:rFonts w:ascii="仿宋_GB2312" w:hAnsi="仿宋_GB2312" w:eastAsia="仿宋_GB2312" w:cs="仿宋_GB2312"/>
          <w:sz w:val="32"/>
          <w:szCs w:val="32"/>
        </w:rPr>
        <w:t>2005</w:t>
      </w:r>
      <w:r>
        <w:rPr>
          <w:rFonts w:hint="eastAsia" w:ascii="仿宋_GB2312" w:hAnsi="仿宋_GB2312" w:eastAsia="仿宋_GB2312" w:cs="仿宋_GB2312"/>
          <w:sz w:val="32"/>
          <w:szCs w:val="32"/>
        </w:rPr>
        <w:t>】</w:t>
      </w:r>
      <w:r>
        <w:rPr>
          <w:rFonts w:ascii="仿宋_GB2312" w:hAnsi="仿宋_GB2312" w:eastAsia="仿宋_GB2312" w:cs="仿宋_GB2312"/>
          <w:sz w:val="32"/>
          <w:szCs w:val="32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、《四川省行政执法监督条例》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、《行政机关公务员处分条例》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、《事业单位工作人员处分暂行规定》</w:t>
      </w:r>
    </w:p>
    <w:p>
      <w:pPr>
        <w:spacing w:line="560" w:lineRule="exact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六、四川省剑阁县地方海事处行政执法自由裁量标准</w:t>
      </w:r>
    </w:p>
    <w:p>
      <w:pPr>
        <w:spacing w:line="560" w:lineRule="exact"/>
        <w:ind w:firstLine="480" w:firstLineChars="1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《四川省交通运输行政处罚裁量权标准》（川交发【</w:t>
      </w:r>
      <w:r>
        <w:rPr>
          <w:rFonts w:ascii="仿宋_GB2312" w:hAnsi="仿宋_GB2312" w:eastAsia="仿宋_GB2312" w:cs="仿宋_GB2312"/>
          <w:sz w:val="32"/>
          <w:szCs w:val="32"/>
        </w:rPr>
        <w:t>2018</w:t>
      </w:r>
      <w:r>
        <w:rPr>
          <w:rFonts w:hint="eastAsia" w:ascii="仿宋_GB2312" w:hAnsi="仿宋_GB2312" w:eastAsia="仿宋_GB2312" w:cs="仿宋_GB2312"/>
          <w:sz w:val="32"/>
          <w:szCs w:val="32"/>
        </w:rPr>
        <w:t>】</w:t>
      </w:r>
      <w:r>
        <w:rPr>
          <w:rFonts w:ascii="仿宋_GB2312" w:hAnsi="仿宋_GB2312" w:eastAsia="仿宋_GB2312" w:cs="仿宋_GB2312"/>
          <w:sz w:val="32"/>
          <w:szCs w:val="32"/>
        </w:rPr>
        <w:t>19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</w:t>
      </w:r>
    </w:p>
    <w:p>
      <w:pPr>
        <w:spacing w:line="560" w:lineRule="exact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七、四川省剑阁县地方海事处随机抽查事项清单、市场主体库（检查对象名录库）、</w:t>
      </w:r>
      <w:r>
        <w:rPr>
          <w:rFonts w:ascii="仿宋_GB2312" w:hAnsi="仿宋_GB2312" w:eastAsia="仿宋_GB2312" w:cs="仿宋_GB2312"/>
          <w:b/>
          <w:sz w:val="32"/>
          <w:szCs w:val="32"/>
        </w:rPr>
        <w:t>2020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年抽查计划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（一）随机抽查事项清单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对船舶责任主体单位、船员、签单员的监管检查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检查依据：《四川省海事巡航工作规范》《四川省水上交通安全管理条例》</w:t>
      </w:r>
      <w:r>
        <w:rPr>
          <w:rFonts w:hint="eastAsia" w:ascii="仿宋_GB2312" w:eastAsia="仿宋_GB2312"/>
          <w:bCs/>
          <w:color w:val="494949"/>
          <w:sz w:val="32"/>
          <w:szCs w:val="32"/>
          <w:shd w:val="clear" w:color="auto" w:fill="FFFFFF"/>
        </w:rPr>
        <w:t>《四川省客渡船舶签单发航管理规定》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检查对象：船舶责任主体单位、船员、签单员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检查内容：（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）船舶责任主体单位，依据《四川省水上交通安全管理条例》第八条乡（镇）人民政府的水上交通安全管理职责：（一）负责本行政区域内的船舶所有有、经营人、船员以及有关单位、个人安全工作的组织、协调和安全隐患的督察整改工作，组织开展安全宣传、安全检查活到；（二）建立健全客渡船舶签单发航管理人员职责和管理制度，负责本行政区域内水上交通安全管理人员的安全考评、考核工作；（三）建立健全（镇）人民政府、村民委员会和船主以及渡口、渡船、渡工的安全管理责任制，并负责本行政区域内的自用船舶登记管理工作；（四）县级人民政府和相关部门依法交办的其他水上交通安全管理工作。街道办事处依照本条第一款行使水上交通安全管理职责。</w:t>
      </w:r>
    </w:p>
    <w:p>
      <w:pPr>
        <w:spacing w:line="560" w:lineRule="exact"/>
        <w:ind w:firstLine="800" w:firstLineChars="2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船员的管理依据《四川省水上交通安全管理条例》第十八条规定，船员有下列行为之一的，航务海事管理机构、渔政管理机构应当依法对其实施处罚并可责令参加强制性安全培训：（一）船舶存在安全隐患，未在限定的期限内纠正或者消除的；（二）以不安全的方式操纵船舶，发生重大险情或者一般及其以上等级事故的；（三）屡次违反船舶航行规则的；（四）向船舶外违法排放污染物的；（五）疲劳驾驶、超时驾驶、酒后驾驶的；（六）其他危及人身、财产安全的行为。</w:t>
      </w:r>
    </w:p>
    <w:p>
      <w:pPr>
        <w:pStyle w:val="5"/>
        <w:shd w:val="clear" w:color="auto" w:fill="FFFFFF"/>
        <w:spacing w:before="0" w:beforeAutospacing="0" w:after="0" w:afterAutospacing="0" w:line="322" w:lineRule="atLeast"/>
        <w:ind w:firstLine="640"/>
        <w:rPr>
          <w:rFonts w:ascii="仿宋_GB2312" w:eastAsia="仿宋_GB2312"/>
          <w:color w:val="494949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签单员管理依据</w:t>
      </w:r>
      <w:r>
        <w:rPr>
          <w:rFonts w:hint="eastAsia" w:ascii="仿宋_GB2312" w:eastAsia="仿宋_GB2312"/>
          <w:bCs/>
          <w:color w:val="494949"/>
          <w:sz w:val="32"/>
          <w:szCs w:val="32"/>
          <w:shd w:val="clear" w:color="auto" w:fill="FFFFFF"/>
        </w:rPr>
        <w:t>《四川省客渡船舶签单发航管理规定》</w:t>
      </w:r>
      <w:r>
        <w:rPr>
          <w:rFonts w:hint="eastAsia" w:ascii="仿宋_GB2312" w:eastAsia="仿宋_GB2312"/>
          <w:bCs/>
          <w:color w:val="494949"/>
          <w:sz w:val="32"/>
          <w:szCs w:val="32"/>
        </w:rPr>
        <w:t>第七条</w:t>
      </w:r>
      <w:r>
        <w:rPr>
          <w:rFonts w:hint="eastAsia" w:ascii="仿宋_GB2312" w:eastAsia="仿宋_GB2312"/>
          <w:color w:val="494949"/>
          <w:sz w:val="32"/>
          <w:szCs w:val="32"/>
        </w:rPr>
        <w:t>签单人员应当履行下列职责：（一）签单人员应严格执行“六不发航”规定，即船况不良不发航、证照不齐不发航、乘客超载不发航、停航封渡不发航、气候不良不发航和乘客不穿救生衣不发航；（二）签单人员应当维护乘客上下船秩序，及时清点上船乘客数量，制止客渡船舶超员、超载；（三）签单人员应如实填写《四川省客渡船舶签单发航工作记录表》（附件），不得弄虚作假；签单人员填写签单记录表后，再经当班船长（员）签字确认，客渡船舶方可发航；（四）签单记录表由签单人员妥善保管，不得随船携带，不得由客渡船船主（员）自行签单；（五）实行航次签单的，签单人员应于客渡船舶当日第一班次发航前到岗，直至最后航次收班为止。</w:t>
      </w:r>
    </w:p>
    <w:p>
      <w:pPr>
        <w:spacing w:line="576" w:lineRule="exact"/>
        <w:jc w:val="left"/>
        <w:rPr>
          <w:rFonts w:ascii="仿宋_GB2312" w:hAnsi="华文中宋" w:eastAsia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（二）</w:t>
      </w:r>
      <w:r>
        <w:rPr>
          <w:rFonts w:ascii="仿宋_GB2312" w:hAnsi="华文中宋" w:eastAsia="仿宋_GB2312"/>
          <w:b/>
          <w:color w:val="000000"/>
          <w:sz w:val="32"/>
          <w:szCs w:val="32"/>
        </w:rPr>
        <w:t>2020</w:t>
      </w:r>
      <w:r>
        <w:rPr>
          <w:rFonts w:hint="eastAsia" w:ascii="仿宋_GB2312" w:hAnsi="华文中宋" w:eastAsia="仿宋_GB2312"/>
          <w:b/>
          <w:color w:val="000000"/>
          <w:sz w:val="32"/>
          <w:szCs w:val="32"/>
        </w:rPr>
        <w:t>年水上交通安全双随机巡航计划</w:t>
      </w:r>
    </w:p>
    <w:tbl>
      <w:tblPr>
        <w:tblStyle w:val="7"/>
        <w:tblW w:w="9581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0"/>
        <w:gridCol w:w="1495"/>
        <w:gridCol w:w="4245"/>
        <w:gridCol w:w="1188"/>
        <w:gridCol w:w="12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1360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巡查</w:t>
            </w:r>
          </w:p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时段</w:t>
            </w:r>
          </w:p>
        </w:tc>
        <w:tc>
          <w:tcPr>
            <w:tcW w:w="149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巡查水域</w:t>
            </w:r>
          </w:p>
        </w:tc>
        <w:tc>
          <w:tcPr>
            <w:tcW w:w="4245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巡查内容</w:t>
            </w:r>
          </w:p>
        </w:tc>
        <w:tc>
          <w:tcPr>
            <w:tcW w:w="1188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巡查</w:t>
            </w:r>
          </w:p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方式</w:t>
            </w:r>
          </w:p>
        </w:tc>
        <w:tc>
          <w:tcPr>
            <w:tcW w:w="129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1360" w:type="dxa"/>
            <w:vAlign w:val="center"/>
          </w:tcPr>
          <w:p>
            <w:pPr>
              <w:spacing w:line="360" w:lineRule="exact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日</w:t>
            </w: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>-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>31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日</w:t>
            </w:r>
          </w:p>
        </w:tc>
        <w:tc>
          <w:tcPr>
            <w:tcW w:w="1495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亭子口、</w:t>
            </w:r>
          </w:p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升钟库区</w:t>
            </w:r>
          </w:p>
        </w:tc>
        <w:tc>
          <w:tcPr>
            <w:tcW w:w="4245" w:type="dxa"/>
            <w:vAlign w:val="center"/>
          </w:tcPr>
          <w:p>
            <w:pPr>
              <w:spacing w:line="360" w:lineRule="exact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>1.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重点时间：春运、春节前后、学生放假、返校时间。</w:t>
            </w: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>2.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重点在运渡口：防滑防冻物资准备情况。</w:t>
            </w:r>
          </w:p>
        </w:tc>
        <w:tc>
          <w:tcPr>
            <w:tcW w:w="1188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明查</w:t>
            </w:r>
          </w:p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</w:p>
        </w:tc>
        <w:tc>
          <w:tcPr>
            <w:tcW w:w="1293" w:type="dxa"/>
            <w:vAlign w:val="center"/>
          </w:tcPr>
          <w:p>
            <w:pPr>
              <w:spacing w:line="360" w:lineRule="exact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贾</w:t>
            </w: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波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附远德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1360" w:type="dxa"/>
            <w:vMerge w:val="restart"/>
            <w:vAlign w:val="center"/>
          </w:tcPr>
          <w:p>
            <w:pPr>
              <w:spacing w:line="460" w:lineRule="exact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</w:p>
          <w:p>
            <w:pPr>
              <w:spacing w:line="460" w:lineRule="exact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>4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日</w:t>
            </w: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>-4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>30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日</w:t>
            </w:r>
          </w:p>
        </w:tc>
        <w:tc>
          <w:tcPr>
            <w:tcW w:w="149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升钟库区</w:t>
            </w:r>
          </w:p>
        </w:tc>
        <w:tc>
          <w:tcPr>
            <w:tcW w:w="4245" w:type="dxa"/>
            <w:vAlign w:val="center"/>
          </w:tcPr>
          <w:p>
            <w:pPr>
              <w:spacing w:line="360" w:lineRule="exact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检查船舶适航状况、船员适任情况、救生消防设备配备情况。</w:t>
            </w:r>
          </w:p>
        </w:tc>
        <w:tc>
          <w:tcPr>
            <w:tcW w:w="118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专项检查</w:t>
            </w:r>
          </w:p>
        </w:tc>
        <w:tc>
          <w:tcPr>
            <w:tcW w:w="129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附远德</w:t>
            </w:r>
          </w:p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王成勇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1360" w:type="dxa"/>
            <w:vMerge w:val="continue"/>
            <w:vAlign w:val="center"/>
          </w:tcPr>
          <w:p>
            <w:pPr>
              <w:spacing w:line="460" w:lineRule="exact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</w:p>
        </w:tc>
        <w:tc>
          <w:tcPr>
            <w:tcW w:w="1495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亭子口</w:t>
            </w:r>
          </w:p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库区</w:t>
            </w:r>
          </w:p>
        </w:tc>
        <w:tc>
          <w:tcPr>
            <w:tcW w:w="4245" w:type="dxa"/>
            <w:vAlign w:val="center"/>
          </w:tcPr>
          <w:p>
            <w:pPr>
              <w:spacing w:line="360" w:lineRule="exact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开展联合巡航活动：与市局、县级部门开展联合巡航活动。</w:t>
            </w:r>
          </w:p>
        </w:tc>
        <w:tc>
          <w:tcPr>
            <w:tcW w:w="1188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联合</w:t>
            </w:r>
          </w:p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巡查</w:t>
            </w:r>
          </w:p>
        </w:tc>
        <w:tc>
          <w:tcPr>
            <w:tcW w:w="129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附远德</w:t>
            </w:r>
          </w:p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李贵云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2" w:hRule="atLeast"/>
        </w:trPr>
        <w:tc>
          <w:tcPr>
            <w:tcW w:w="1360" w:type="dxa"/>
            <w:vAlign w:val="center"/>
          </w:tcPr>
          <w:p>
            <w:pPr>
              <w:spacing w:line="460" w:lineRule="exact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>5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日</w:t>
            </w: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>-5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>31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日</w:t>
            </w:r>
          </w:p>
        </w:tc>
        <w:tc>
          <w:tcPr>
            <w:tcW w:w="1495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亭子口、</w:t>
            </w:r>
          </w:p>
          <w:p>
            <w:pPr>
              <w:spacing w:line="360" w:lineRule="exact"/>
              <w:ind w:firstLine="61" w:firstLineChars="22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升钟库区</w:t>
            </w:r>
          </w:p>
        </w:tc>
        <w:tc>
          <w:tcPr>
            <w:tcW w:w="4245" w:type="dxa"/>
            <w:vAlign w:val="center"/>
          </w:tcPr>
          <w:p>
            <w:pPr>
              <w:spacing w:line="360" w:lineRule="exact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>1.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“六不发航”“签单发航”“救生衣行动”等管理制度的落实情况。</w:t>
            </w: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>2.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客渡船、货船、采砂船防汛工作准备情况。</w:t>
            </w: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>3.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五一节期间安全检查。</w:t>
            </w:r>
          </w:p>
        </w:tc>
        <w:tc>
          <w:tcPr>
            <w:tcW w:w="118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明查与暗访相结合</w:t>
            </w:r>
          </w:p>
        </w:tc>
        <w:tc>
          <w:tcPr>
            <w:tcW w:w="129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贾</w:t>
            </w: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波</w:t>
            </w:r>
          </w:p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附远德</w:t>
            </w:r>
          </w:p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1360" w:type="dxa"/>
            <w:vMerge w:val="restart"/>
            <w:vAlign w:val="center"/>
          </w:tcPr>
          <w:p>
            <w:pPr>
              <w:spacing w:line="460" w:lineRule="exact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>6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日</w:t>
            </w: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>-6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>30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日</w:t>
            </w:r>
          </w:p>
        </w:tc>
        <w:tc>
          <w:tcPr>
            <w:tcW w:w="1495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升钟库区</w:t>
            </w:r>
          </w:p>
        </w:tc>
        <w:tc>
          <w:tcPr>
            <w:tcW w:w="4245" w:type="dxa"/>
            <w:vMerge w:val="restart"/>
            <w:vAlign w:val="center"/>
          </w:tcPr>
          <w:p>
            <w:pPr>
              <w:spacing w:line="360" w:lineRule="exact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汛期安全检查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</w:p>
        </w:tc>
        <w:tc>
          <w:tcPr>
            <w:tcW w:w="1188" w:type="dxa"/>
            <w:vMerge w:val="restart"/>
            <w:vAlign w:val="center"/>
          </w:tcPr>
          <w:p>
            <w:pPr>
              <w:spacing w:line="460" w:lineRule="exact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专项检查</w:t>
            </w:r>
          </w:p>
        </w:tc>
        <w:tc>
          <w:tcPr>
            <w:tcW w:w="129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附远德</w:t>
            </w:r>
          </w:p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王成勇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1360" w:type="dxa"/>
            <w:vMerge w:val="continue"/>
            <w:vAlign w:val="center"/>
          </w:tcPr>
          <w:p>
            <w:pPr>
              <w:spacing w:line="460" w:lineRule="exact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</w:p>
        </w:tc>
        <w:tc>
          <w:tcPr>
            <w:tcW w:w="1495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亭子口</w:t>
            </w:r>
          </w:p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库</w:t>
            </w: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区</w:t>
            </w:r>
          </w:p>
        </w:tc>
        <w:tc>
          <w:tcPr>
            <w:tcW w:w="4245" w:type="dxa"/>
            <w:vMerge w:val="continue"/>
            <w:vAlign w:val="center"/>
          </w:tcPr>
          <w:p>
            <w:pPr>
              <w:spacing w:line="360" w:lineRule="exact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</w:p>
        </w:tc>
        <w:tc>
          <w:tcPr>
            <w:tcW w:w="1188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</w:p>
        </w:tc>
        <w:tc>
          <w:tcPr>
            <w:tcW w:w="129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附远德</w:t>
            </w:r>
          </w:p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李贵云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</w:trPr>
        <w:tc>
          <w:tcPr>
            <w:tcW w:w="1360" w:type="dxa"/>
            <w:vAlign w:val="center"/>
          </w:tcPr>
          <w:p>
            <w:pPr>
              <w:spacing w:line="460" w:lineRule="exact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>7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日</w:t>
            </w: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>-7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>31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日</w:t>
            </w:r>
          </w:p>
        </w:tc>
        <w:tc>
          <w:tcPr>
            <w:tcW w:w="149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升钟、亭</w:t>
            </w:r>
          </w:p>
          <w:p>
            <w:pPr>
              <w:spacing w:line="4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子口库区</w:t>
            </w:r>
          </w:p>
        </w:tc>
        <w:tc>
          <w:tcPr>
            <w:tcW w:w="4245" w:type="dxa"/>
            <w:vAlign w:val="center"/>
          </w:tcPr>
          <w:p>
            <w:pPr>
              <w:spacing w:line="360" w:lineRule="exact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开展联合执法行动，重点检查采砂船舶、客渡船防汛措施落实情况、查处船舶违章、治理隐患</w:t>
            </w:r>
          </w:p>
        </w:tc>
        <w:tc>
          <w:tcPr>
            <w:tcW w:w="118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明查</w:t>
            </w:r>
          </w:p>
        </w:tc>
        <w:tc>
          <w:tcPr>
            <w:tcW w:w="129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贾</w:t>
            </w: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波</w:t>
            </w:r>
          </w:p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附远德</w:t>
            </w:r>
          </w:p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60" w:type="dxa"/>
            <w:vAlign w:val="center"/>
          </w:tcPr>
          <w:p>
            <w:pPr>
              <w:spacing w:line="360" w:lineRule="exact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>8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日</w:t>
            </w: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>-8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>31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日</w:t>
            </w:r>
          </w:p>
        </w:tc>
        <w:tc>
          <w:tcPr>
            <w:tcW w:w="1495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升钟、亭</w:t>
            </w:r>
          </w:p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子口库区</w:t>
            </w:r>
          </w:p>
        </w:tc>
        <w:tc>
          <w:tcPr>
            <w:tcW w:w="4245" w:type="dxa"/>
            <w:vAlign w:val="center"/>
          </w:tcPr>
          <w:p>
            <w:pPr>
              <w:spacing w:line="360" w:lineRule="exact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防汛安全检查</w:t>
            </w:r>
          </w:p>
        </w:tc>
        <w:tc>
          <w:tcPr>
            <w:tcW w:w="1188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明查与暗访相结合</w:t>
            </w:r>
          </w:p>
        </w:tc>
        <w:tc>
          <w:tcPr>
            <w:tcW w:w="129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附远德</w:t>
            </w:r>
          </w:p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王成勇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1360" w:type="dxa"/>
            <w:vAlign w:val="center"/>
          </w:tcPr>
          <w:p>
            <w:pPr>
              <w:spacing w:line="360" w:lineRule="exact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>9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日</w:t>
            </w: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>-9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>30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日</w:t>
            </w:r>
          </w:p>
        </w:tc>
        <w:tc>
          <w:tcPr>
            <w:tcW w:w="1495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升钟、亭子口库区</w:t>
            </w:r>
          </w:p>
        </w:tc>
        <w:tc>
          <w:tcPr>
            <w:tcW w:w="4245" w:type="dxa"/>
            <w:vAlign w:val="center"/>
          </w:tcPr>
          <w:p>
            <w:pPr>
              <w:spacing w:line="360" w:lineRule="exact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根据实际情况，分重点分次对船舶防汛安全进行检查</w:t>
            </w:r>
          </w:p>
        </w:tc>
        <w:tc>
          <w:tcPr>
            <w:tcW w:w="1188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明查与暗</w:t>
            </w:r>
          </w:p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访相结合</w:t>
            </w:r>
          </w:p>
        </w:tc>
        <w:tc>
          <w:tcPr>
            <w:tcW w:w="129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贾</w:t>
            </w: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波</w:t>
            </w:r>
          </w:p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附远德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</w:trPr>
        <w:tc>
          <w:tcPr>
            <w:tcW w:w="1360" w:type="dxa"/>
            <w:vMerge w:val="restart"/>
            <w:vAlign w:val="center"/>
          </w:tcPr>
          <w:p>
            <w:pPr>
              <w:spacing w:line="460" w:lineRule="exact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>10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日</w:t>
            </w: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>-10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>30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日</w:t>
            </w:r>
          </w:p>
        </w:tc>
        <w:tc>
          <w:tcPr>
            <w:tcW w:w="149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升钟库区</w:t>
            </w:r>
          </w:p>
        </w:tc>
        <w:tc>
          <w:tcPr>
            <w:tcW w:w="4245" w:type="dxa"/>
            <w:vAlign w:val="center"/>
          </w:tcPr>
          <w:p>
            <w:pPr>
              <w:spacing w:line="360" w:lineRule="exact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>1.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组织升钟库区站开展辖区安全检查。</w:t>
            </w: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>2.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国庆节黄金周期间针对性安全检查。</w:t>
            </w:r>
          </w:p>
        </w:tc>
        <w:tc>
          <w:tcPr>
            <w:tcW w:w="118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明查</w:t>
            </w:r>
          </w:p>
        </w:tc>
        <w:tc>
          <w:tcPr>
            <w:tcW w:w="129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附远德</w:t>
            </w:r>
          </w:p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王成勇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1360" w:type="dxa"/>
            <w:vMerge w:val="continue"/>
            <w:vAlign w:val="center"/>
          </w:tcPr>
          <w:p>
            <w:pPr>
              <w:spacing w:line="460" w:lineRule="exact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</w:p>
        </w:tc>
        <w:tc>
          <w:tcPr>
            <w:tcW w:w="1495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亭子口</w:t>
            </w:r>
          </w:p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库区</w:t>
            </w:r>
          </w:p>
        </w:tc>
        <w:tc>
          <w:tcPr>
            <w:tcW w:w="4245" w:type="dxa"/>
            <w:vAlign w:val="center"/>
          </w:tcPr>
          <w:p>
            <w:pPr>
              <w:spacing w:line="360" w:lineRule="exact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联合昭化海事处开展巡航活动</w:t>
            </w:r>
          </w:p>
        </w:tc>
        <w:tc>
          <w:tcPr>
            <w:tcW w:w="1188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专项巡查</w:t>
            </w:r>
          </w:p>
        </w:tc>
        <w:tc>
          <w:tcPr>
            <w:tcW w:w="129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附远德</w:t>
            </w:r>
          </w:p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李贵云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1" w:hRule="atLeast"/>
        </w:trPr>
        <w:tc>
          <w:tcPr>
            <w:tcW w:w="1360" w:type="dxa"/>
            <w:vAlign w:val="center"/>
          </w:tcPr>
          <w:p>
            <w:pPr>
              <w:spacing w:line="360" w:lineRule="exact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>11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日</w:t>
            </w: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>-12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>31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日</w:t>
            </w:r>
          </w:p>
        </w:tc>
        <w:tc>
          <w:tcPr>
            <w:tcW w:w="1495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亭子口、</w:t>
            </w:r>
          </w:p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升钟库区</w:t>
            </w:r>
          </w:p>
        </w:tc>
        <w:tc>
          <w:tcPr>
            <w:tcW w:w="4245" w:type="dxa"/>
            <w:vAlign w:val="center"/>
          </w:tcPr>
          <w:p>
            <w:pPr>
              <w:spacing w:line="360" w:lineRule="exact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分次对秋冬季节水上交通安全进行检查，重点是客渡船、采砂船舶的安全检查</w:t>
            </w:r>
          </w:p>
        </w:tc>
        <w:tc>
          <w:tcPr>
            <w:tcW w:w="1188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明查与暗</w:t>
            </w:r>
          </w:p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查相结合</w:t>
            </w:r>
          </w:p>
        </w:tc>
        <w:tc>
          <w:tcPr>
            <w:tcW w:w="129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贾</w:t>
            </w: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波</w:t>
            </w:r>
          </w:p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附远德</w:t>
            </w:r>
          </w:p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5" w:hRule="exact"/>
        </w:trPr>
        <w:tc>
          <w:tcPr>
            <w:tcW w:w="9581" w:type="dxa"/>
            <w:gridSpan w:val="5"/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备注：</w:t>
            </w: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、本计划为基本计划，不排除根据实际情况和上级的要求增加巡查任务；</w:t>
            </w: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>2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、具体时间、参加人员根据情况确定</w:t>
            </w:r>
            <w:r>
              <w:rPr>
                <w:rFonts w:ascii="仿宋_GB2312" w:hAnsi="宋体" w:eastAsia="仿宋_GB2312" w:cs="宋体"/>
                <w:color w:val="494949"/>
                <w:kern w:val="0"/>
                <w:sz w:val="28"/>
                <w:szCs w:val="28"/>
              </w:rPr>
              <w:t>;3</w:t>
            </w:r>
            <w:r>
              <w:rPr>
                <w:rFonts w:hint="eastAsia" w:ascii="仿宋_GB2312" w:hAnsi="宋体" w:eastAsia="仿宋_GB2312" w:cs="宋体"/>
                <w:color w:val="494949"/>
                <w:kern w:val="0"/>
                <w:sz w:val="28"/>
                <w:szCs w:val="28"/>
              </w:rPr>
              <w:t>、本计划如有变更，须报处长同意。</w:t>
            </w:r>
          </w:p>
        </w:tc>
      </w:tr>
    </w:tbl>
    <w:p>
      <w:pPr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（三）检查对象名录库区</w:t>
      </w:r>
    </w:p>
    <w:tbl>
      <w:tblPr>
        <w:tblStyle w:val="6"/>
        <w:tblW w:w="9421" w:type="dxa"/>
        <w:tblInd w:w="-55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"/>
        <w:gridCol w:w="768"/>
        <w:gridCol w:w="853"/>
        <w:gridCol w:w="1018"/>
        <w:gridCol w:w="1141"/>
        <w:gridCol w:w="730"/>
        <w:gridCol w:w="853"/>
        <w:gridCol w:w="1182"/>
        <w:gridCol w:w="1347"/>
        <w:gridCol w:w="10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序号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码头名称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所属乡镇或部门</w:t>
            </w:r>
          </w:p>
        </w:tc>
        <w:tc>
          <w:tcPr>
            <w:tcW w:w="1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所属村组</w:t>
            </w:r>
          </w:p>
        </w:tc>
        <w:tc>
          <w:tcPr>
            <w:tcW w:w="11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水域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是否已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建码头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名称碑、安全告示碑</w:t>
            </w:r>
          </w:p>
        </w:tc>
        <w:tc>
          <w:tcPr>
            <w:tcW w:w="11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经营性质</w:t>
            </w:r>
          </w:p>
        </w:tc>
        <w:tc>
          <w:tcPr>
            <w:tcW w:w="13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船名号</w:t>
            </w:r>
          </w:p>
        </w:tc>
        <w:tc>
          <w:tcPr>
            <w:tcW w:w="10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是否签单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元柏树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长岭乡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金象村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升钟水库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已建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有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公益性渡口</w:t>
            </w:r>
          </w:p>
        </w:tc>
        <w:tc>
          <w:tcPr>
            <w:tcW w:w="13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川剑阁渡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0047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黄连嘴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长岭乡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曙光村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升钟水库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已建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有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公益性渡口</w:t>
            </w:r>
          </w:p>
        </w:tc>
        <w:tc>
          <w:tcPr>
            <w:tcW w:w="13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川剑阁渡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0027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杨家滩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长岭乡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红岩村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升钟水库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已建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有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公益性渡口</w:t>
            </w:r>
          </w:p>
        </w:tc>
        <w:tc>
          <w:tcPr>
            <w:tcW w:w="13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川剑阁渡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0004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鹅颈项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长岭乡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楼桥村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升钟水库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已建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有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公益性渡口</w:t>
            </w:r>
          </w:p>
        </w:tc>
        <w:tc>
          <w:tcPr>
            <w:tcW w:w="13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川剑阁渡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0001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小沟头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长岭乡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楼桥村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升钟水库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已建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有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公益性渡口</w:t>
            </w:r>
          </w:p>
        </w:tc>
        <w:tc>
          <w:tcPr>
            <w:tcW w:w="13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川剑阁渡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0007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小垭子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长岭乡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红岩村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升钟水库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已建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有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公益性渡口</w:t>
            </w:r>
          </w:p>
        </w:tc>
        <w:tc>
          <w:tcPr>
            <w:tcW w:w="13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川剑阁渡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0002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观音寺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长岭乡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井坝村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升钟水库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已建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有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公益性渡口</w:t>
            </w:r>
          </w:p>
        </w:tc>
        <w:tc>
          <w:tcPr>
            <w:tcW w:w="13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川剑阁渡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0022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断桥河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柘坝乡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南桥村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升钟水库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已建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有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公益性渡口</w:t>
            </w:r>
          </w:p>
        </w:tc>
        <w:tc>
          <w:tcPr>
            <w:tcW w:w="13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川剑阁渡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0043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龙潭口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柘坝乡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南桥村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升钟水库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未建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有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公益性渡口</w:t>
            </w:r>
          </w:p>
        </w:tc>
        <w:tc>
          <w:tcPr>
            <w:tcW w:w="13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川剑阁渡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0044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王家堰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吼狮乡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龙座村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升钟水库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已建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有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公益性渡口</w:t>
            </w:r>
          </w:p>
        </w:tc>
        <w:tc>
          <w:tcPr>
            <w:tcW w:w="13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川剑阁渡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0052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龙塘拐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吼狮乡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人马村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升钟水库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已建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有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公益性渡口</w:t>
            </w:r>
          </w:p>
        </w:tc>
        <w:tc>
          <w:tcPr>
            <w:tcW w:w="13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川剑阁渡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0041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梁家堰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金仙镇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双柏村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升钟水库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已建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有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公益性渡口</w:t>
            </w:r>
          </w:p>
        </w:tc>
        <w:tc>
          <w:tcPr>
            <w:tcW w:w="13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川剑阁渡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0053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官渡河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金仙镇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井峰村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升钟水库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已建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有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公益性渡口</w:t>
            </w:r>
          </w:p>
        </w:tc>
        <w:tc>
          <w:tcPr>
            <w:tcW w:w="13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川剑阁渡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0006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天子坟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演圣镇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天井村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升钟水库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已建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有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公益性渡口</w:t>
            </w:r>
          </w:p>
        </w:tc>
        <w:tc>
          <w:tcPr>
            <w:tcW w:w="13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川剑阁渡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0051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横石头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演圣镇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中子村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升钟水库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已建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有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公益性渡口</w:t>
            </w:r>
          </w:p>
        </w:tc>
        <w:tc>
          <w:tcPr>
            <w:tcW w:w="13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川剑阁渡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0031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姜家沟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涂山乡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苏维村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升钟水库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已建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有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公益性渡口</w:t>
            </w:r>
          </w:p>
        </w:tc>
        <w:tc>
          <w:tcPr>
            <w:tcW w:w="13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川剑阁渡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0048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17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金钟庙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江口镇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金钟村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亭子口库区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已建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有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公益性渡口</w:t>
            </w:r>
          </w:p>
        </w:tc>
        <w:tc>
          <w:tcPr>
            <w:tcW w:w="13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川剑阁渡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0049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龙潭河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樵店乡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中岩村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亭子口库区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已建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有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公益性渡口</w:t>
            </w:r>
          </w:p>
        </w:tc>
        <w:tc>
          <w:tcPr>
            <w:tcW w:w="13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川剑阁渡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0046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陵江渡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张王乡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陵江村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亭子口库区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已建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有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公益性渡口</w:t>
            </w:r>
          </w:p>
        </w:tc>
        <w:tc>
          <w:tcPr>
            <w:tcW w:w="13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川剑阁渡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0005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金银渡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鹤龄镇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金银村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亭子口库区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已建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有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公益性渡口</w:t>
            </w:r>
          </w:p>
        </w:tc>
        <w:tc>
          <w:tcPr>
            <w:tcW w:w="13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川剑阁渡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0019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21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陈家堰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店子镇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登高村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亭子口库区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已建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有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公益性渡口</w:t>
            </w:r>
          </w:p>
        </w:tc>
        <w:tc>
          <w:tcPr>
            <w:tcW w:w="13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川剑阁渡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0055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22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蒲家嘴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闻溪乡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鲁公村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亭子口库区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已建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有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公益性渡口</w:t>
            </w:r>
          </w:p>
        </w:tc>
        <w:tc>
          <w:tcPr>
            <w:tcW w:w="13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川剑阁渡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0057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是</w:t>
            </w:r>
          </w:p>
        </w:tc>
      </w:tr>
    </w:tbl>
    <w:p>
      <w:pPr>
        <w:spacing w:line="560" w:lineRule="exact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八、四川省剑阁县地方海事处行政执法文书样式、行政执法案卷评查制度</w:t>
      </w:r>
    </w:p>
    <w:p>
      <w:pPr>
        <w:spacing w:line="560" w:lineRule="exact"/>
        <w:jc w:val="center"/>
        <w:rPr>
          <w:rFonts w:ascii="仿宋_GB2312" w:hAnsi="仿宋_GB2312" w:eastAsia="仿宋_GB2312" w:cs="仿宋_GB2312"/>
          <w:b/>
          <w:bCs/>
          <w:kern w:val="0"/>
          <w:sz w:val="36"/>
          <w:szCs w:val="40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（一）</w:t>
      </w:r>
      <w:r>
        <w:rPr>
          <w:rFonts w:hint="eastAsia" w:ascii="仿宋_GB2312" w:hAnsi="仿宋_GB2312" w:eastAsia="仿宋_GB2312" w:cs="仿宋_GB2312"/>
          <w:b/>
          <w:color w:val="323232"/>
          <w:kern w:val="36"/>
          <w:sz w:val="32"/>
          <w:szCs w:val="32"/>
        </w:rPr>
        <w:t>交通运输行政执法程序规定（中华人民共和国交通运输部令</w:t>
      </w:r>
      <w:r>
        <w:rPr>
          <w:rFonts w:ascii="仿宋_GB2312" w:hAnsi="仿宋_GB2312" w:eastAsia="仿宋_GB2312" w:cs="仿宋_GB2312"/>
          <w:b/>
          <w:color w:val="323232"/>
          <w:kern w:val="36"/>
          <w:sz w:val="32"/>
          <w:szCs w:val="32"/>
        </w:rPr>
        <w:t>2019</w:t>
      </w:r>
      <w:r>
        <w:rPr>
          <w:rFonts w:hint="eastAsia" w:ascii="仿宋_GB2312" w:hAnsi="仿宋_GB2312" w:eastAsia="仿宋_GB2312" w:cs="仿宋_GB2312"/>
          <w:b/>
          <w:color w:val="323232"/>
          <w:kern w:val="36"/>
          <w:sz w:val="32"/>
          <w:szCs w:val="32"/>
        </w:rPr>
        <w:t>年第</w:t>
      </w:r>
      <w:r>
        <w:rPr>
          <w:rFonts w:ascii="仿宋_GB2312" w:hAnsi="仿宋_GB2312" w:eastAsia="仿宋_GB2312" w:cs="仿宋_GB2312"/>
          <w:b/>
          <w:color w:val="323232"/>
          <w:kern w:val="36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b/>
          <w:color w:val="323232"/>
          <w:kern w:val="36"/>
          <w:sz w:val="32"/>
          <w:szCs w:val="32"/>
        </w:rPr>
        <w:t>号）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交通运输行政执法文书式样</w:t>
      </w:r>
    </w:p>
    <w:p>
      <w:pPr>
        <w:spacing w:line="560" w:lineRule="exact"/>
        <w:rPr>
          <w:rFonts w:ascii="仿宋_GB2312" w:hAnsi="仿宋_GB2312" w:eastAsia="仿宋_GB2312" w:cs="仿宋_GB2312"/>
          <w:b/>
          <w:color w:val="323232"/>
          <w:kern w:val="36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323232"/>
          <w:kern w:val="36"/>
          <w:sz w:val="32"/>
          <w:szCs w:val="32"/>
        </w:rPr>
        <w:t>（二）《行政执法案卷评查制度》</w:t>
      </w:r>
    </w:p>
    <w:p>
      <w:pPr>
        <w:spacing w:line="560" w:lineRule="exact"/>
        <w:rPr>
          <w:rFonts w:ascii="仿宋_GB2312" w:hAnsi="仿宋_GB2312" w:eastAsia="仿宋_GB2312" w:cs="仿宋_GB2312"/>
          <w:b/>
          <w:color w:val="323232"/>
          <w:kern w:val="36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323232"/>
          <w:kern w:val="36"/>
          <w:sz w:val="32"/>
          <w:szCs w:val="32"/>
        </w:rPr>
        <w:t>九、行政许可、行政处罚决定、上年度本机关行政执法数据总体情况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323232"/>
          <w:kern w:val="36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23232"/>
          <w:kern w:val="36"/>
          <w:sz w:val="32"/>
          <w:szCs w:val="32"/>
        </w:rPr>
        <w:t>上年度本机关行政执法数据总体情况</w:t>
      </w:r>
    </w:p>
    <w:p>
      <w:pPr>
        <w:spacing w:line="560" w:lineRule="exact"/>
        <w:ind w:firstLine="420" w:firstLineChars="200"/>
        <w:rPr>
          <w:rFonts w:ascii="仿宋_GB2312" w:hAnsi="仿宋_GB2312" w:eastAsia="仿宋_GB2312" w:cs="仿宋_GB2312"/>
          <w:color w:val="323232"/>
          <w:kern w:val="36"/>
          <w:sz w:val="32"/>
          <w:szCs w:val="32"/>
        </w:rPr>
      </w:pPr>
      <w:r>
        <w:fldChar w:fldCharType="begin"/>
      </w:r>
      <w:r>
        <w:instrText xml:space="preserve"> HYPERLINK "https://59.225.209.96/auth//oauth/authorize?response_type=code&amp;client_id=SampleClientId2&amp;redirect_uri=http%3A%2F%2F59.225.209.96%2Fmain%2Flogin&amp;scope=user_info&amp;state=65459" </w:instrText>
      </w:r>
      <w:r>
        <w:fldChar w:fldCharType="separate"/>
      </w:r>
      <w:r>
        <w:rPr>
          <w:rFonts w:ascii="仿宋_GB2312" w:hAnsi="仿宋_GB2312" w:eastAsia="仿宋_GB2312" w:cs="仿宋_GB2312"/>
          <w:color w:val="323232"/>
          <w:kern w:val="36"/>
          <w:sz w:val="32"/>
          <w:szCs w:val="32"/>
        </w:rPr>
        <w:t>https://59.225.209.96/auth//oauth/authorize?response_type=code&amp;client_id=SampleClientId2&amp;redirect_uri=http%3A%2F%2F59.225.209.96%2Fmain%2Flogin&amp;scope=user_info&amp;state=65459</w:t>
      </w:r>
      <w:r>
        <w:rPr>
          <w:rFonts w:ascii="仿宋_GB2312" w:hAnsi="仿宋_GB2312" w:eastAsia="仿宋_GB2312" w:cs="仿宋_GB2312"/>
          <w:color w:val="323232"/>
          <w:kern w:val="36"/>
          <w:sz w:val="32"/>
          <w:szCs w:val="32"/>
        </w:rPr>
        <w:fldChar w:fldCharType="end"/>
      </w:r>
    </w:p>
    <w:p>
      <w:pPr>
        <w:spacing w:line="560" w:lineRule="exact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十、四川省剑阁县地方海事处实行行政执法三项制度方案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执行四川省剑阁县地方海事处《行政执法公示制、执法全过程记录和重大执法决定法制审核制度》</w:t>
      </w:r>
    </w:p>
    <w:p>
      <w:pPr>
        <w:spacing w:line="560" w:lineRule="exact"/>
        <w:ind w:firstLine="320" w:firstLineChars="1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320" w:firstLineChars="1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320" w:firstLineChars="1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 xml:space="preserve">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四川省剑阁县地方海事处</w:t>
      </w:r>
    </w:p>
    <w:p>
      <w:pPr>
        <w:spacing w:line="560" w:lineRule="exact"/>
        <w:ind w:firstLine="320" w:firstLineChars="1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 xml:space="preserve">                            2020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spacing w:line="560" w:lineRule="exact"/>
        <w:ind w:firstLine="320" w:firstLineChars="1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微软雅黑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F37E35"/>
    <w:multiLevelType w:val="multilevel"/>
    <w:tmpl w:val="40F37E35"/>
    <w:lvl w:ilvl="0" w:tentative="0">
      <w:start w:val="1"/>
      <w:numFmt w:val="japaneseCounting"/>
      <w:lvlText w:val="（%1）"/>
      <w:lvlJc w:val="left"/>
      <w:pPr>
        <w:ind w:left="1080" w:hanging="108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43CF24DD"/>
    <w:multiLevelType w:val="multilevel"/>
    <w:tmpl w:val="43CF24DD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645965D2"/>
    <w:multiLevelType w:val="multilevel"/>
    <w:tmpl w:val="645965D2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989"/>
    <w:rsid w:val="00044818"/>
    <w:rsid w:val="00055A49"/>
    <w:rsid w:val="000805E2"/>
    <w:rsid w:val="000C6A94"/>
    <w:rsid w:val="000D0190"/>
    <w:rsid w:val="000D04D2"/>
    <w:rsid w:val="00136BE7"/>
    <w:rsid w:val="00146F89"/>
    <w:rsid w:val="00155E36"/>
    <w:rsid w:val="001D2115"/>
    <w:rsid w:val="001D49E9"/>
    <w:rsid w:val="001D79A5"/>
    <w:rsid w:val="001E34EC"/>
    <w:rsid w:val="00233790"/>
    <w:rsid w:val="00241879"/>
    <w:rsid w:val="00255663"/>
    <w:rsid w:val="00270FA8"/>
    <w:rsid w:val="002B1954"/>
    <w:rsid w:val="002C47EE"/>
    <w:rsid w:val="00356518"/>
    <w:rsid w:val="003814EC"/>
    <w:rsid w:val="003A26F4"/>
    <w:rsid w:val="003D240D"/>
    <w:rsid w:val="003E7420"/>
    <w:rsid w:val="00435087"/>
    <w:rsid w:val="00453E17"/>
    <w:rsid w:val="004604DA"/>
    <w:rsid w:val="00472A97"/>
    <w:rsid w:val="00472F9B"/>
    <w:rsid w:val="004C325F"/>
    <w:rsid w:val="004D290D"/>
    <w:rsid w:val="004F6815"/>
    <w:rsid w:val="005216F8"/>
    <w:rsid w:val="00536E57"/>
    <w:rsid w:val="00560754"/>
    <w:rsid w:val="005A7269"/>
    <w:rsid w:val="006231EC"/>
    <w:rsid w:val="006B14BF"/>
    <w:rsid w:val="006D46FB"/>
    <w:rsid w:val="006F0C96"/>
    <w:rsid w:val="00746989"/>
    <w:rsid w:val="0075420E"/>
    <w:rsid w:val="00756BA7"/>
    <w:rsid w:val="007757F2"/>
    <w:rsid w:val="007873C8"/>
    <w:rsid w:val="00796361"/>
    <w:rsid w:val="007B19F7"/>
    <w:rsid w:val="007C3058"/>
    <w:rsid w:val="0081316B"/>
    <w:rsid w:val="00894A91"/>
    <w:rsid w:val="008B641E"/>
    <w:rsid w:val="008D5780"/>
    <w:rsid w:val="009002B0"/>
    <w:rsid w:val="009737DD"/>
    <w:rsid w:val="0098740E"/>
    <w:rsid w:val="009B1C8E"/>
    <w:rsid w:val="009E2F74"/>
    <w:rsid w:val="009E3DD3"/>
    <w:rsid w:val="00A0751F"/>
    <w:rsid w:val="00A448C0"/>
    <w:rsid w:val="00A55F0C"/>
    <w:rsid w:val="00A62EC6"/>
    <w:rsid w:val="00AA59A5"/>
    <w:rsid w:val="00AD4A66"/>
    <w:rsid w:val="00B11743"/>
    <w:rsid w:val="00B66E81"/>
    <w:rsid w:val="00BB70B8"/>
    <w:rsid w:val="00BF518C"/>
    <w:rsid w:val="00C276BF"/>
    <w:rsid w:val="00C464B6"/>
    <w:rsid w:val="00C96C9D"/>
    <w:rsid w:val="00C97ED7"/>
    <w:rsid w:val="00CB392D"/>
    <w:rsid w:val="00CC5CF9"/>
    <w:rsid w:val="00D017CA"/>
    <w:rsid w:val="00D31DB1"/>
    <w:rsid w:val="00D32554"/>
    <w:rsid w:val="00D52583"/>
    <w:rsid w:val="00DD0127"/>
    <w:rsid w:val="00DD14C3"/>
    <w:rsid w:val="00DD4637"/>
    <w:rsid w:val="00E90BC1"/>
    <w:rsid w:val="00EA196D"/>
    <w:rsid w:val="00EA6D25"/>
    <w:rsid w:val="00EE6FC5"/>
    <w:rsid w:val="00F043E1"/>
    <w:rsid w:val="00F21CA4"/>
    <w:rsid w:val="00F50C07"/>
    <w:rsid w:val="00F61D59"/>
    <w:rsid w:val="00FC70F6"/>
    <w:rsid w:val="00FF5227"/>
    <w:rsid w:val="167F13D8"/>
    <w:rsid w:val="1C587E08"/>
    <w:rsid w:val="27CE2780"/>
    <w:rsid w:val="2B04281B"/>
    <w:rsid w:val="2BFC320D"/>
    <w:rsid w:val="2E393091"/>
    <w:rsid w:val="34734BCF"/>
    <w:rsid w:val="34EB7E08"/>
    <w:rsid w:val="3F3117DC"/>
    <w:rsid w:val="4547500F"/>
    <w:rsid w:val="4A0C64E9"/>
    <w:rsid w:val="569746F0"/>
    <w:rsid w:val="58FC2A6F"/>
    <w:rsid w:val="5D3D4C58"/>
    <w:rsid w:val="63BA2E4C"/>
    <w:rsid w:val="6BBA143E"/>
    <w:rsid w:val="6F3C689A"/>
    <w:rsid w:val="70231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iPriority w:val="99"/>
    <w:rPr>
      <w:sz w:val="18"/>
      <w:szCs w:val="18"/>
    </w:rPr>
  </w:style>
  <w:style w:type="paragraph" w:styleId="3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7">
    <w:name w:val="Table Grid"/>
    <w:basedOn w:val="6"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uiPriority w:val="99"/>
    <w:rPr>
      <w:rFonts w:cs="Times New Roman"/>
      <w:color w:val="0000FF"/>
      <w:u w:val="single"/>
    </w:rPr>
  </w:style>
  <w:style w:type="character" w:customStyle="1" w:styleId="10">
    <w:name w:val="Balloon Text Char"/>
    <w:basedOn w:val="8"/>
    <w:link w:val="2"/>
    <w:semiHidden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Footer Char"/>
    <w:basedOn w:val="8"/>
    <w:link w:val="3"/>
    <w:semiHidden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Header Char"/>
    <w:basedOn w:val="8"/>
    <w:link w:val="4"/>
    <w:semiHidden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9</Pages>
  <Words>796</Words>
  <Characters>4543</Characters>
  <Lines>0</Lines>
  <Paragraphs>0</Paragraphs>
  <TotalTime>371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2020-06-02T00:55:00Z</dcterms:created>
  <dc:creator>Administrator</dc:creator>
  <cp:lastModifiedBy>沉淀</cp:lastModifiedBy>
  <cp:lastPrinted>2020-06-11T07:04:00Z</cp:lastPrinted>
  <dcterms:modified xsi:type="dcterms:W3CDTF">2020-06-11T08:50:06Z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